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8B" w:rsidRDefault="0072608B" w:rsidP="0072608B">
      <w:pPr>
        <w:spacing w:after="0"/>
      </w:pPr>
    </w:p>
    <w:tbl>
      <w:tblPr>
        <w:tblStyle w:val="TableGrid"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5"/>
        <w:gridCol w:w="9995"/>
        <w:gridCol w:w="2382"/>
      </w:tblGrid>
      <w:tr w:rsidR="00CA0C89" w:rsidRPr="00B91AEC" w:rsidTr="00B41851">
        <w:trPr>
          <w:cantSplit/>
          <w:trHeight w:val="1043"/>
          <w:jc w:val="center"/>
        </w:trPr>
        <w:tc>
          <w:tcPr>
            <w:tcW w:w="14052" w:type="dxa"/>
            <w:gridSpan w:val="3"/>
            <w:shd w:val="clear" w:color="auto" w:fill="auto"/>
            <w:vAlign w:val="center"/>
          </w:tcPr>
          <w:p w:rsidR="00CA0C89" w:rsidRPr="00B91AEC" w:rsidRDefault="00CA0C89" w:rsidP="00D76B5D">
            <w:pPr>
              <w:jc w:val="center"/>
              <w:rPr>
                <w:b/>
                <w:sz w:val="48"/>
              </w:rPr>
            </w:pPr>
            <w:r w:rsidRPr="00B91AEC">
              <w:rPr>
                <w:b/>
                <w:sz w:val="48"/>
              </w:rPr>
              <w:t xml:space="preserve">Grade 4 </w:t>
            </w:r>
            <w:r w:rsidR="00D76B5D">
              <w:rPr>
                <w:b/>
                <w:sz w:val="48"/>
              </w:rPr>
              <w:t>Math</w:t>
            </w:r>
            <w:r w:rsidR="007A3691">
              <w:rPr>
                <w:b/>
                <w:sz w:val="48"/>
              </w:rPr>
              <w:t xml:space="preserve"> </w:t>
            </w:r>
            <w:r w:rsidRPr="00B91AEC">
              <w:rPr>
                <w:b/>
                <w:sz w:val="48"/>
              </w:rPr>
              <w:t>Expectations</w:t>
            </w:r>
          </w:p>
        </w:tc>
      </w:tr>
      <w:tr w:rsidR="00CA0C89" w:rsidRPr="00B91AEC" w:rsidTr="00B41851">
        <w:trPr>
          <w:cantSplit/>
          <w:trHeight w:val="576"/>
          <w:jc w:val="center"/>
        </w:trPr>
        <w:tc>
          <w:tcPr>
            <w:tcW w:w="14052" w:type="dxa"/>
            <w:gridSpan w:val="3"/>
            <w:shd w:val="clear" w:color="auto" w:fill="000000" w:themeFill="text1"/>
            <w:vAlign w:val="center"/>
          </w:tcPr>
          <w:p w:rsidR="00CA0C89" w:rsidRPr="00B91AEC" w:rsidRDefault="00CA0C89" w:rsidP="001B26F6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B91AEC">
              <w:rPr>
                <w:b/>
                <w:color w:val="FFFFFF" w:themeColor="background1"/>
                <w:sz w:val="40"/>
              </w:rPr>
              <w:t>NUMBER SENSE AND OPERATIONS IN BASE TEN: NBT</w:t>
            </w:r>
          </w:p>
        </w:tc>
      </w:tr>
      <w:tr w:rsidR="00B41851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B41851">
              <w:rPr>
                <w:b/>
                <w:color w:val="000000"/>
                <w:sz w:val="32"/>
                <w:szCs w:val="32"/>
              </w:rPr>
              <w:t>4.NBT.A</w:t>
            </w:r>
          </w:p>
        </w:tc>
        <w:tc>
          <w:tcPr>
            <w:tcW w:w="999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Use place value understanding and properties of operations to perform multi-digit arithmetic with numbers up to one million.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Term: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4.NBT.A.1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Round multi-digit whole numbers to any place.</w:t>
            </w:r>
          </w:p>
        </w:tc>
        <w:tc>
          <w:tcPr>
            <w:tcW w:w="2382" w:type="dxa"/>
          </w:tcPr>
          <w:p w:rsidR="004C5ACE" w:rsidRPr="0085274A" w:rsidRDefault="00632B2A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1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4.NBT.A.2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color w:val="000000" w:themeColor="text1"/>
                <w:sz w:val="24"/>
                <w:szCs w:val="24"/>
              </w:rPr>
            </w:pPr>
            <w:r w:rsidRPr="00B91AEC">
              <w:rPr>
                <w:color w:val="000000" w:themeColor="text1"/>
                <w:sz w:val="24"/>
                <w:szCs w:val="24"/>
              </w:rPr>
              <w:t>Read, write and identify multi-digit whole numbers up to one million using number names, base ten numerals and expanded form.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1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4.NBT.A.3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color w:val="000000" w:themeColor="text1"/>
                <w:sz w:val="24"/>
                <w:szCs w:val="24"/>
              </w:rPr>
            </w:pPr>
            <w:r w:rsidRPr="00B91AEC">
              <w:rPr>
                <w:color w:val="000000" w:themeColor="text1"/>
                <w:sz w:val="24"/>
                <w:szCs w:val="24"/>
              </w:rPr>
              <w:t>Compare two multi-digit numbers using the symbols &gt;, = or &lt;, and justify the solution.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1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4.NBT.A.4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Understand that in a multi-digit whole number, a digit represents 10 times what it would represent in the place to its right.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2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4.NBT.A.5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spacing w:line="276" w:lineRule="auto"/>
              <w:ind w:left="-457"/>
              <w:rPr>
                <w:color w:val="000000" w:themeColor="text1"/>
                <w:sz w:val="24"/>
                <w:szCs w:val="24"/>
              </w:rPr>
            </w:pPr>
            <w:r w:rsidRPr="00B91AEC">
              <w:rPr>
                <w:color w:val="000000" w:themeColor="text1"/>
                <w:sz w:val="24"/>
                <w:szCs w:val="24"/>
              </w:rPr>
              <w:t>Demonstrate fluency with addition and subtraction of whole numbers.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2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4.NBT.A.6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Multiply a whole number of up to four digits by a one-digit whole number and multiply two two-digit numbers, and justify the solution.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2-3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4.NBT.A.7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Find whole-number quotients and remainders with up to four-digit dividends and one-digit divisors, and justify the solution.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4-5</w:t>
            </w:r>
          </w:p>
        </w:tc>
      </w:tr>
      <w:tr w:rsidR="00CA0C89" w:rsidRPr="00B91AEC" w:rsidTr="00B41851">
        <w:trPr>
          <w:cantSplit/>
          <w:trHeight w:val="576"/>
          <w:jc w:val="center"/>
        </w:trPr>
        <w:tc>
          <w:tcPr>
            <w:tcW w:w="14052" w:type="dxa"/>
            <w:gridSpan w:val="3"/>
            <w:shd w:val="clear" w:color="auto" w:fill="000000" w:themeFill="text1"/>
            <w:vAlign w:val="center"/>
          </w:tcPr>
          <w:p w:rsidR="00CA0C89" w:rsidRPr="00B91AEC" w:rsidRDefault="00CA0C89" w:rsidP="009A4B4F">
            <w:pPr>
              <w:ind w:left="-45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91AEC">
              <w:rPr>
                <w:b/>
                <w:color w:val="FFFFFF" w:themeColor="background1"/>
                <w:sz w:val="40"/>
              </w:rPr>
              <w:t>NUMBER SENSE AND OPERATIONS IN FRACTIONS: NF</w:t>
            </w:r>
          </w:p>
        </w:tc>
      </w:tr>
      <w:tr w:rsidR="00B41851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B41851">
              <w:rPr>
                <w:b/>
                <w:color w:val="000000"/>
                <w:sz w:val="32"/>
                <w:szCs w:val="32"/>
              </w:rPr>
              <w:t>4.NF.A</w:t>
            </w:r>
          </w:p>
        </w:tc>
        <w:tc>
          <w:tcPr>
            <w:tcW w:w="999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ind w:left="-68"/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Extend understanding of fraction equivalence and ordering. (Limit denominators to 2, 3, 4, 5, 6, 8, 10, 12 and 100.)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Term: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4.NF.A.1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Explain and/or illustrate why two fractions are equivalent.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5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4.NF.A.2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Recognize and generate equivalent fractions.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5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4.NF.A.3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spacing w:line="276" w:lineRule="auto"/>
              <w:ind w:left="-457"/>
              <w:rPr>
                <w:color w:val="000000" w:themeColor="text1"/>
                <w:sz w:val="24"/>
                <w:szCs w:val="24"/>
              </w:rPr>
            </w:pPr>
            <w:r w:rsidRPr="00B91AEC">
              <w:rPr>
                <w:color w:val="000000" w:themeColor="text1"/>
                <w:sz w:val="24"/>
                <w:szCs w:val="24"/>
              </w:rPr>
              <w:t>Compare two fractions using the symbols &gt;, = or &lt;, and justify the solution.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6</w:t>
            </w:r>
          </w:p>
        </w:tc>
      </w:tr>
      <w:tr w:rsidR="00B41851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B41851">
              <w:rPr>
                <w:b/>
                <w:color w:val="000000"/>
                <w:sz w:val="32"/>
                <w:szCs w:val="32"/>
              </w:rPr>
              <w:lastRenderedPageBreak/>
              <w:t>4.NF.B</w:t>
            </w:r>
          </w:p>
        </w:tc>
        <w:tc>
          <w:tcPr>
            <w:tcW w:w="999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ind w:left="-68"/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Extend understanding of operations on whole numbers to fraction operations.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Term: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4.NF.B.4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Understand addition and subtraction of fractions as joining/composing and separating/decomposing parts referring to the same whole.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6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4.NF.B.5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Decompose a fraction into a sum of fractions with the same denominator and record each decomposition with an equation and justification.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6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4.NF.B.6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Solve problems involving adding and subtracting fractions and mixed numbers with like denominators.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i/>
                <w:sz w:val="32"/>
                <w:szCs w:val="24"/>
              </w:rPr>
            </w:pPr>
            <w:r w:rsidRPr="0085274A">
              <w:rPr>
                <w:rFonts w:cs="Arial"/>
                <w:i/>
                <w:sz w:val="32"/>
                <w:szCs w:val="24"/>
              </w:rPr>
              <w:t>6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4.NF.B.7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Apply and extend previous understandings of multiplication to multiply a fraction by a whole number.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6-7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4.NF.B.8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Solve problems involving multiplication of a fraction by a whole number.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7</w:t>
            </w:r>
          </w:p>
        </w:tc>
      </w:tr>
      <w:tr w:rsidR="00B41851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B41851">
              <w:rPr>
                <w:b/>
                <w:color w:val="000000"/>
                <w:sz w:val="32"/>
                <w:szCs w:val="32"/>
              </w:rPr>
              <w:t>4.NF.C</w:t>
            </w:r>
          </w:p>
        </w:tc>
        <w:tc>
          <w:tcPr>
            <w:tcW w:w="999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ind w:left="-68"/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Understand decimal notation for fractions, and compare decimal fractions. (Denominators of 10 or 100)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Term: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1B4A4A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4.NF.C.9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Use decimal notation for fractions with denominators of 10 or 100.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7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4.NF.C.10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Understand that fractions and decimals are equivalent representations of the same quantity.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7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4.NF.C.11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Read, write and identify decimals to the hundredths place using number names, base ten numerals and expanded form.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7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4.NF.C.12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 xml:space="preserve">Compare two decimals to the hundredths place using the symbols &gt;, = </w:t>
            </w:r>
            <w:r w:rsidRPr="00B91AEC">
              <w:rPr>
                <w:color w:val="000000" w:themeColor="text1"/>
                <w:sz w:val="24"/>
                <w:szCs w:val="24"/>
              </w:rPr>
              <w:t xml:space="preserve">or </w:t>
            </w:r>
            <w:r w:rsidRPr="00B91AEC">
              <w:rPr>
                <w:sz w:val="24"/>
                <w:szCs w:val="24"/>
              </w:rPr>
              <w:t>&lt;, and justify the solution.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7</w:t>
            </w:r>
          </w:p>
        </w:tc>
      </w:tr>
      <w:tr w:rsidR="00CA0C89" w:rsidRPr="00B91AEC" w:rsidTr="00B41851">
        <w:trPr>
          <w:cantSplit/>
          <w:trHeight w:val="576"/>
          <w:jc w:val="center"/>
        </w:trPr>
        <w:tc>
          <w:tcPr>
            <w:tcW w:w="14052" w:type="dxa"/>
            <w:gridSpan w:val="3"/>
            <w:shd w:val="clear" w:color="auto" w:fill="000000" w:themeFill="text1"/>
            <w:vAlign w:val="center"/>
          </w:tcPr>
          <w:p w:rsidR="00CA0C89" w:rsidRPr="00B91AEC" w:rsidRDefault="00CA0C89" w:rsidP="009A4B4F">
            <w:pPr>
              <w:ind w:left="-45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91AEC">
              <w:rPr>
                <w:b/>
                <w:color w:val="FFFFFF" w:themeColor="background1"/>
                <w:sz w:val="40"/>
              </w:rPr>
              <w:t>RELATIONSHIPS AND ALGEBRAIC THINKING: RA</w:t>
            </w:r>
          </w:p>
        </w:tc>
      </w:tr>
      <w:tr w:rsidR="00B41851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B41851">
              <w:rPr>
                <w:b/>
                <w:color w:val="000000"/>
                <w:sz w:val="32"/>
                <w:szCs w:val="32"/>
              </w:rPr>
              <w:t>4.RA.A</w:t>
            </w:r>
          </w:p>
        </w:tc>
        <w:tc>
          <w:tcPr>
            <w:tcW w:w="999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ind w:left="-68"/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Use the four operations with whole numbers to solve problems.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Term: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4.RA.A.1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color w:val="000000" w:themeColor="text1"/>
                <w:sz w:val="24"/>
                <w:szCs w:val="24"/>
              </w:rPr>
            </w:pPr>
            <w:r w:rsidRPr="00B91AEC">
              <w:rPr>
                <w:color w:val="000000" w:themeColor="text1"/>
                <w:sz w:val="24"/>
                <w:szCs w:val="24"/>
              </w:rPr>
              <w:t>Multiply or divide to solve problems involving a multiplicative comparison.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i/>
                <w:sz w:val="32"/>
                <w:szCs w:val="24"/>
              </w:rPr>
            </w:pPr>
            <w:r w:rsidRPr="0085274A">
              <w:rPr>
                <w:rFonts w:cs="Arial"/>
                <w:i/>
                <w:sz w:val="32"/>
                <w:szCs w:val="24"/>
              </w:rPr>
              <w:t>4-5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4.RA.A.2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color w:val="000000" w:themeColor="text1"/>
                <w:sz w:val="24"/>
                <w:szCs w:val="24"/>
              </w:rPr>
            </w:pPr>
            <w:r w:rsidRPr="00B91AEC">
              <w:rPr>
                <w:color w:val="000000" w:themeColor="text1"/>
                <w:sz w:val="24"/>
                <w:szCs w:val="24"/>
              </w:rPr>
              <w:t>Solve multi-step whole number problems involving the four operations and variables and using estimation to interpret the reasonableness of the answer.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4-5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4.RA.A.3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Solve whole number division problems involving variables in which remainders need to be interpreted, and justify the solution.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4-5</w:t>
            </w:r>
          </w:p>
        </w:tc>
      </w:tr>
      <w:tr w:rsidR="00B41851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B41851">
              <w:rPr>
                <w:b/>
                <w:color w:val="000000"/>
                <w:sz w:val="32"/>
                <w:szCs w:val="32"/>
              </w:rPr>
              <w:lastRenderedPageBreak/>
              <w:t>4.RA.B</w:t>
            </w:r>
          </w:p>
        </w:tc>
        <w:tc>
          <w:tcPr>
            <w:tcW w:w="999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ind w:left="-68"/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Work with factors and multiples.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Term: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4.RA.B.4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Recognize that a whole number is a multiple of each of its factors and find the multiples for a given whole number.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5-6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4.RA.B.5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Determine if a whole number within 100 is composite or prime, and find all factor pairs for whole numbers within 100.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5-6</w:t>
            </w:r>
          </w:p>
        </w:tc>
      </w:tr>
      <w:tr w:rsidR="00B41851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B41851">
              <w:rPr>
                <w:b/>
                <w:color w:val="000000"/>
                <w:sz w:val="32"/>
                <w:szCs w:val="32"/>
              </w:rPr>
              <w:t>4.RA.C</w:t>
            </w:r>
          </w:p>
        </w:tc>
        <w:tc>
          <w:tcPr>
            <w:tcW w:w="999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ind w:left="-68"/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Generate and analyze patterns.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Term: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4.RA.C.6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Generate a number pattern that follows a given rule.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1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4.RA.C.7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Use words or mathematical symbols to express a rule for a given pattern.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1</w:t>
            </w:r>
          </w:p>
        </w:tc>
      </w:tr>
      <w:tr w:rsidR="00CA0C89" w:rsidRPr="00B91AEC" w:rsidTr="00B41851">
        <w:trPr>
          <w:cantSplit/>
          <w:trHeight w:val="576"/>
          <w:jc w:val="center"/>
        </w:trPr>
        <w:tc>
          <w:tcPr>
            <w:tcW w:w="14052" w:type="dxa"/>
            <w:gridSpan w:val="3"/>
            <w:shd w:val="clear" w:color="auto" w:fill="000000" w:themeFill="text1"/>
            <w:vAlign w:val="center"/>
          </w:tcPr>
          <w:p w:rsidR="00CA0C89" w:rsidRPr="00B41851" w:rsidRDefault="00CA0C89" w:rsidP="00B41851">
            <w:pPr>
              <w:ind w:left="-457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B41851">
              <w:rPr>
                <w:b/>
                <w:color w:val="FFFFFF" w:themeColor="background1"/>
                <w:sz w:val="32"/>
                <w:szCs w:val="32"/>
              </w:rPr>
              <w:t>GEOMETRY AND MEASUREMENT: GM</w:t>
            </w:r>
          </w:p>
        </w:tc>
      </w:tr>
      <w:tr w:rsidR="00B41851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B41851">
              <w:rPr>
                <w:b/>
                <w:color w:val="000000"/>
                <w:sz w:val="32"/>
                <w:szCs w:val="32"/>
              </w:rPr>
              <w:t>4.GM.A</w:t>
            </w:r>
          </w:p>
        </w:tc>
        <w:tc>
          <w:tcPr>
            <w:tcW w:w="999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ind w:left="-68"/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Classify 2-dimensional shapes by properties of their lines and angles.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Term: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4.GM.A.1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Draw and identify points, lines, line segments, rays, angles, perpendicular lines and parallel lines.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8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4.GM.A.2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Classify two-dimensional shapes by their sides and/or angles.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8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4.GM.A.3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Construct lines of symmetry for a two-dimensional figure.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tabs>
                <w:tab w:val="left" w:pos="1380"/>
              </w:tabs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8</w:t>
            </w:r>
          </w:p>
        </w:tc>
      </w:tr>
      <w:tr w:rsidR="00B41851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B41851">
              <w:rPr>
                <w:b/>
                <w:color w:val="000000"/>
                <w:sz w:val="32"/>
                <w:szCs w:val="32"/>
              </w:rPr>
              <w:t>4.GM.B</w:t>
            </w:r>
          </w:p>
        </w:tc>
        <w:tc>
          <w:tcPr>
            <w:tcW w:w="999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ind w:left="-68"/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Understand the concepts of angle and measure angles.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B41851" w:rsidRPr="001C5D09" w:rsidRDefault="00B41851" w:rsidP="00B41851">
            <w:pPr>
              <w:jc w:val="center"/>
              <w:rPr>
                <w:b/>
                <w:bCs/>
                <w:sz w:val="32"/>
                <w:szCs w:val="32"/>
              </w:rPr>
            </w:pPr>
            <w:r w:rsidRPr="001C5D09">
              <w:rPr>
                <w:b/>
                <w:bCs/>
                <w:sz w:val="32"/>
                <w:szCs w:val="32"/>
              </w:rPr>
              <w:t>Term: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4.GM.B.4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Identify and estimate angles and their measure.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tabs>
                <w:tab w:val="center" w:pos="1076"/>
              </w:tabs>
              <w:jc w:val="center"/>
              <w:rPr>
                <w:rFonts w:cs="Arial"/>
                <w:sz w:val="32"/>
                <w:szCs w:val="24"/>
                <w:highlight w:val="yellow"/>
              </w:rPr>
            </w:pPr>
            <w:r w:rsidRPr="0085274A">
              <w:rPr>
                <w:rFonts w:cs="Arial"/>
                <w:sz w:val="32"/>
                <w:szCs w:val="24"/>
              </w:rPr>
              <w:t>8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4.GM.B.5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Draw and measure angles in whole-number degrees using a protractor.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sz w:val="32"/>
                <w:szCs w:val="24"/>
              </w:rPr>
            </w:pPr>
            <w:r w:rsidRPr="0085274A">
              <w:rPr>
                <w:sz w:val="32"/>
                <w:szCs w:val="24"/>
              </w:rPr>
              <w:t>8</w:t>
            </w:r>
          </w:p>
        </w:tc>
      </w:tr>
      <w:tr w:rsidR="00B41851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B41851">
              <w:rPr>
                <w:b/>
                <w:color w:val="000000"/>
                <w:sz w:val="32"/>
                <w:szCs w:val="32"/>
              </w:rPr>
              <w:t>4.GM.C</w:t>
            </w:r>
          </w:p>
        </w:tc>
        <w:tc>
          <w:tcPr>
            <w:tcW w:w="999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ind w:left="-68"/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Solve problems involving measurement and conversion of measurements from a larger unit to a smaller unit.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Term: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4.GM.C.6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Know relative sizes of measurement units within one system of units.</w:t>
            </w:r>
          </w:p>
          <w:p w:rsidR="004C5ACE" w:rsidRPr="009A4B4F" w:rsidRDefault="004C5ACE" w:rsidP="009A4B4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A4B4F">
              <w:rPr>
                <w:sz w:val="24"/>
                <w:szCs w:val="24"/>
              </w:rPr>
              <w:t>Convert measurements in a larger unit in terms of a smaller unit.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2- 8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lastRenderedPageBreak/>
              <w:t>4.GM.C.7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Use the four operations to solve problems involving distances, intervals of time, liquid volume, weight of objects and money.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i/>
                <w:sz w:val="32"/>
                <w:szCs w:val="24"/>
              </w:rPr>
            </w:pPr>
            <w:r w:rsidRPr="0085274A">
              <w:rPr>
                <w:rFonts w:cs="Arial"/>
                <w:i/>
                <w:sz w:val="32"/>
                <w:szCs w:val="24"/>
              </w:rPr>
              <w:t>2-8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4.GM.C.8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Apply the area and perimeter formulas for rectangles to solve problems.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i/>
                <w:sz w:val="32"/>
                <w:szCs w:val="24"/>
              </w:rPr>
            </w:pPr>
            <w:r w:rsidRPr="0085274A">
              <w:rPr>
                <w:rFonts w:cs="Arial"/>
                <w:i/>
                <w:sz w:val="32"/>
                <w:szCs w:val="24"/>
              </w:rPr>
              <w:t>2</w:t>
            </w:r>
          </w:p>
        </w:tc>
      </w:tr>
      <w:tr w:rsidR="00CA0C89" w:rsidRPr="00B91AEC" w:rsidTr="00B41851">
        <w:trPr>
          <w:cantSplit/>
          <w:trHeight w:val="576"/>
          <w:jc w:val="center"/>
        </w:trPr>
        <w:tc>
          <w:tcPr>
            <w:tcW w:w="14052" w:type="dxa"/>
            <w:gridSpan w:val="3"/>
            <w:shd w:val="clear" w:color="auto" w:fill="000000" w:themeFill="text1"/>
            <w:vAlign w:val="center"/>
          </w:tcPr>
          <w:p w:rsidR="00CA0C89" w:rsidRPr="00B91AEC" w:rsidRDefault="00CA0C89" w:rsidP="009A4B4F">
            <w:pPr>
              <w:ind w:left="-45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91AEC">
              <w:rPr>
                <w:b/>
                <w:color w:val="FFFFFF" w:themeColor="background1"/>
                <w:sz w:val="40"/>
              </w:rPr>
              <w:t>DATA AND STATISTICS: DS</w:t>
            </w:r>
          </w:p>
        </w:tc>
      </w:tr>
      <w:tr w:rsidR="00B41851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tabs>
                <w:tab w:val="num" w:pos="124"/>
                <w:tab w:val="num" w:pos="360"/>
              </w:tabs>
              <w:jc w:val="center"/>
              <w:rPr>
                <w:b/>
                <w:color w:val="000000"/>
                <w:sz w:val="32"/>
                <w:szCs w:val="32"/>
              </w:rPr>
            </w:pPr>
            <w:r w:rsidRPr="00B41851">
              <w:rPr>
                <w:b/>
                <w:color w:val="000000"/>
                <w:sz w:val="32"/>
                <w:szCs w:val="32"/>
              </w:rPr>
              <w:t>4.DS.A</w:t>
            </w:r>
          </w:p>
        </w:tc>
        <w:tc>
          <w:tcPr>
            <w:tcW w:w="9995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ind w:left="-68"/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Represent and analyze data.</w:t>
            </w:r>
          </w:p>
        </w:tc>
        <w:tc>
          <w:tcPr>
            <w:tcW w:w="2382" w:type="dxa"/>
            <w:shd w:val="clear" w:color="auto" w:fill="BFBFBF" w:themeFill="background1" w:themeFillShade="BF"/>
            <w:vAlign w:val="center"/>
          </w:tcPr>
          <w:p w:rsidR="00B41851" w:rsidRPr="00B41851" w:rsidRDefault="00B41851" w:rsidP="00B41851">
            <w:pPr>
              <w:jc w:val="center"/>
              <w:rPr>
                <w:b/>
                <w:bCs/>
                <w:sz w:val="32"/>
                <w:szCs w:val="32"/>
              </w:rPr>
            </w:pPr>
            <w:r w:rsidRPr="00B41851">
              <w:rPr>
                <w:b/>
                <w:bCs/>
                <w:sz w:val="32"/>
                <w:szCs w:val="32"/>
              </w:rPr>
              <w:t>Term: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2" w:colLast="2"/>
            <w:r w:rsidRPr="00B91AEC">
              <w:rPr>
                <w:color w:val="000000"/>
                <w:sz w:val="24"/>
                <w:szCs w:val="24"/>
              </w:rPr>
              <w:t>4.DS.A.1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 xml:space="preserve">Create a frequency table and/or line plot to display measurement data. 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theme="minorHAnsi"/>
                <w:sz w:val="32"/>
                <w:szCs w:val="24"/>
              </w:rPr>
            </w:pPr>
            <w:r w:rsidRPr="0085274A">
              <w:rPr>
                <w:rFonts w:cstheme="minorHAnsi"/>
                <w:sz w:val="32"/>
                <w:szCs w:val="24"/>
              </w:rPr>
              <w:t>5-6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4.DS.A.2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sz w:val="24"/>
                <w:szCs w:val="24"/>
              </w:rPr>
              <w:t>Solve problems involving addition and subtraction by using information presented in a data display.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5- 6</w:t>
            </w:r>
          </w:p>
        </w:tc>
      </w:tr>
      <w:tr w:rsidR="004C5ACE" w:rsidRPr="00B91AEC" w:rsidTr="00B41851">
        <w:trPr>
          <w:cantSplit/>
          <w:trHeight w:val="576"/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C5ACE" w:rsidRPr="00B91AEC" w:rsidRDefault="004C5ACE" w:rsidP="005C7EF6">
            <w:pPr>
              <w:tabs>
                <w:tab w:val="num" w:pos="124"/>
                <w:tab w:val="num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B91AEC">
              <w:rPr>
                <w:color w:val="000000"/>
                <w:sz w:val="24"/>
                <w:szCs w:val="24"/>
              </w:rPr>
              <w:t>4.DS.A.3</w:t>
            </w:r>
          </w:p>
        </w:tc>
        <w:tc>
          <w:tcPr>
            <w:tcW w:w="9995" w:type="dxa"/>
            <w:shd w:val="clear" w:color="auto" w:fill="auto"/>
            <w:tcMar>
              <w:left w:w="504" w:type="dxa"/>
            </w:tcMar>
            <w:vAlign w:val="center"/>
          </w:tcPr>
          <w:p w:rsidR="004C5ACE" w:rsidRPr="00B91AEC" w:rsidRDefault="004C5ACE" w:rsidP="009A4B4F">
            <w:pPr>
              <w:ind w:left="-457"/>
              <w:rPr>
                <w:sz w:val="24"/>
                <w:szCs w:val="24"/>
              </w:rPr>
            </w:pPr>
            <w:r w:rsidRPr="00B91AEC">
              <w:rPr>
                <w:rFonts w:cs="Arial"/>
                <w:sz w:val="24"/>
                <w:szCs w:val="24"/>
              </w:rPr>
              <w:t>Analyze the data in a frequency table, line plot, bar graph or picture graph.</w:t>
            </w:r>
          </w:p>
        </w:tc>
        <w:tc>
          <w:tcPr>
            <w:tcW w:w="2382" w:type="dxa"/>
          </w:tcPr>
          <w:p w:rsidR="004C5ACE" w:rsidRPr="0085274A" w:rsidRDefault="001C5D09" w:rsidP="0085274A">
            <w:pPr>
              <w:jc w:val="center"/>
              <w:rPr>
                <w:rFonts w:cs="Arial"/>
                <w:sz w:val="32"/>
                <w:szCs w:val="24"/>
              </w:rPr>
            </w:pPr>
            <w:r w:rsidRPr="0085274A">
              <w:rPr>
                <w:rFonts w:cs="Arial"/>
                <w:sz w:val="32"/>
                <w:szCs w:val="24"/>
              </w:rPr>
              <w:t>5 - 6</w:t>
            </w:r>
          </w:p>
        </w:tc>
      </w:tr>
      <w:bookmarkEnd w:id="0"/>
    </w:tbl>
    <w:p w:rsidR="0072608B" w:rsidRDefault="0072608B" w:rsidP="0072608B">
      <w:pPr>
        <w:spacing w:after="0"/>
      </w:pPr>
    </w:p>
    <w:sectPr w:rsidR="0072608B" w:rsidSect="001B2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52" w:right="864" w:bottom="864" w:left="864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1B" w:rsidRDefault="00BB0C1B" w:rsidP="001230F9">
      <w:pPr>
        <w:spacing w:after="0" w:line="240" w:lineRule="auto"/>
      </w:pPr>
      <w:r>
        <w:separator/>
      </w:r>
    </w:p>
  </w:endnote>
  <w:endnote w:type="continuationSeparator" w:id="0">
    <w:p w:rsidR="00BB0C1B" w:rsidRDefault="00BB0C1B" w:rsidP="0012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10" w:rsidRDefault="00F16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1D" w:rsidRDefault="000753D2">
    <w:pPr>
      <w:pStyle w:val="Footer"/>
    </w:pPr>
    <w:r>
      <w:t>GLEs – GRADE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10" w:rsidRDefault="00F16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1B" w:rsidRDefault="00BB0C1B" w:rsidP="001230F9">
      <w:pPr>
        <w:spacing w:after="0" w:line="240" w:lineRule="auto"/>
      </w:pPr>
      <w:r>
        <w:separator/>
      </w:r>
    </w:p>
  </w:footnote>
  <w:footnote w:type="continuationSeparator" w:id="0">
    <w:p w:rsidR="00BB0C1B" w:rsidRDefault="00BB0C1B" w:rsidP="0012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10" w:rsidRDefault="00F16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10" w:rsidRDefault="00F16F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F10" w:rsidRDefault="00F16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FAD"/>
    <w:multiLevelType w:val="hybridMultilevel"/>
    <w:tmpl w:val="20780E96"/>
    <w:lvl w:ilvl="0" w:tplc="04090017">
      <w:start w:val="1"/>
      <w:numFmt w:val="lowerLetter"/>
      <w:lvlText w:val="%1)"/>
      <w:lvlJc w:val="left"/>
      <w:pPr>
        <w:ind w:left="263" w:hanging="360"/>
      </w:pPr>
    </w:lvl>
    <w:lvl w:ilvl="1" w:tplc="04090019" w:tentative="1">
      <w:start w:val="1"/>
      <w:numFmt w:val="lowerLetter"/>
      <w:lvlText w:val="%2."/>
      <w:lvlJc w:val="left"/>
      <w:pPr>
        <w:ind w:left="983" w:hanging="360"/>
      </w:pPr>
    </w:lvl>
    <w:lvl w:ilvl="2" w:tplc="0409001B" w:tentative="1">
      <w:start w:val="1"/>
      <w:numFmt w:val="lowerRoman"/>
      <w:lvlText w:val="%3."/>
      <w:lvlJc w:val="right"/>
      <w:pPr>
        <w:ind w:left="1703" w:hanging="180"/>
      </w:pPr>
    </w:lvl>
    <w:lvl w:ilvl="3" w:tplc="0409000F" w:tentative="1">
      <w:start w:val="1"/>
      <w:numFmt w:val="decimal"/>
      <w:lvlText w:val="%4."/>
      <w:lvlJc w:val="left"/>
      <w:pPr>
        <w:ind w:left="2423" w:hanging="360"/>
      </w:pPr>
    </w:lvl>
    <w:lvl w:ilvl="4" w:tplc="04090019" w:tentative="1">
      <w:start w:val="1"/>
      <w:numFmt w:val="lowerLetter"/>
      <w:lvlText w:val="%5."/>
      <w:lvlJc w:val="left"/>
      <w:pPr>
        <w:ind w:left="3143" w:hanging="360"/>
      </w:pPr>
    </w:lvl>
    <w:lvl w:ilvl="5" w:tplc="0409001B" w:tentative="1">
      <w:start w:val="1"/>
      <w:numFmt w:val="lowerRoman"/>
      <w:lvlText w:val="%6."/>
      <w:lvlJc w:val="right"/>
      <w:pPr>
        <w:ind w:left="3863" w:hanging="180"/>
      </w:pPr>
    </w:lvl>
    <w:lvl w:ilvl="6" w:tplc="0409000F" w:tentative="1">
      <w:start w:val="1"/>
      <w:numFmt w:val="decimal"/>
      <w:lvlText w:val="%7."/>
      <w:lvlJc w:val="left"/>
      <w:pPr>
        <w:ind w:left="4583" w:hanging="360"/>
      </w:pPr>
    </w:lvl>
    <w:lvl w:ilvl="7" w:tplc="04090019" w:tentative="1">
      <w:start w:val="1"/>
      <w:numFmt w:val="lowerLetter"/>
      <w:lvlText w:val="%8."/>
      <w:lvlJc w:val="left"/>
      <w:pPr>
        <w:ind w:left="5303" w:hanging="360"/>
      </w:pPr>
    </w:lvl>
    <w:lvl w:ilvl="8" w:tplc="040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" w15:restartNumberingAfterBreak="0">
    <w:nsid w:val="0E15651E"/>
    <w:multiLevelType w:val="hybridMultilevel"/>
    <w:tmpl w:val="E618E250"/>
    <w:lvl w:ilvl="0" w:tplc="6D8C1AC6">
      <w:start w:val="1"/>
      <w:numFmt w:val="lowerLetter"/>
      <w:lvlText w:val="%1)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1EB2"/>
    <w:multiLevelType w:val="hybridMultilevel"/>
    <w:tmpl w:val="E788E958"/>
    <w:lvl w:ilvl="0" w:tplc="6D8C1AC6">
      <w:start w:val="1"/>
      <w:numFmt w:val="lowerLetter"/>
      <w:lvlText w:val="%1)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54D"/>
    <w:multiLevelType w:val="hybridMultilevel"/>
    <w:tmpl w:val="AFBEA606"/>
    <w:lvl w:ilvl="0" w:tplc="6D8C1AC6">
      <w:start w:val="1"/>
      <w:numFmt w:val="lowerLetter"/>
      <w:lvlText w:val="%1)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D4D0F"/>
    <w:multiLevelType w:val="hybridMultilevel"/>
    <w:tmpl w:val="E92E0A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D31F3"/>
    <w:multiLevelType w:val="hybridMultilevel"/>
    <w:tmpl w:val="D2489F20"/>
    <w:lvl w:ilvl="0" w:tplc="6D8C1AC6">
      <w:start w:val="1"/>
      <w:numFmt w:val="lowerLetter"/>
      <w:lvlText w:val="%1)"/>
      <w:lvlJc w:val="left"/>
      <w:pPr>
        <w:ind w:left="632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 w15:restartNumberingAfterBreak="0">
    <w:nsid w:val="36A342D0"/>
    <w:multiLevelType w:val="hybridMultilevel"/>
    <w:tmpl w:val="EBCC7D4A"/>
    <w:lvl w:ilvl="0" w:tplc="6D8C1AC6">
      <w:start w:val="1"/>
      <w:numFmt w:val="lowerLetter"/>
      <w:lvlText w:val="%1)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30271"/>
    <w:multiLevelType w:val="hybridMultilevel"/>
    <w:tmpl w:val="CAA4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E18CA"/>
    <w:multiLevelType w:val="hybridMultilevel"/>
    <w:tmpl w:val="E788E958"/>
    <w:lvl w:ilvl="0" w:tplc="6D8C1AC6">
      <w:start w:val="1"/>
      <w:numFmt w:val="lowerLetter"/>
      <w:lvlText w:val="%1)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8B"/>
    <w:rsid w:val="00060A85"/>
    <w:rsid w:val="000742A9"/>
    <w:rsid w:val="000753D2"/>
    <w:rsid w:val="000A7F89"/>
    <w:rsid w:val="000C465E"/>
    <w:rsid w:val="001230F9"/>
    <w:rsid w:val="00152DDE"/>
    <w:rsid w:val="00162C7A"/>
    <w:rsid w:val="00195BEA"/>
    <w:rsid w:val="001B26F6"/>
    <w:rsid w:val="001B4A4A"/>
    <w:rsid w:val="001C15AC"/>
    <w:rsid w:val="001C5D09"/>
    <w:rsid w:val="001E69C5"/>
    <w:rsid w:val="001F28E2"/>
    <w:rsid w:val="001F7193"/>
    <w:rsid w:val="001F7965"/>
    <w:rsid w:val="00266E8C"/>
    <w:rsid w:val="0029755B"/>
    <w:rsid w:val="002D6B6A"/>
    <w:rsid w:val="002E2A8A"/>
    <w:rsid w:val="002F1535"/>
    <w:rsid w:val="003012E4"/>
    <w:rsid w:val="0030793E"/>
    <w:rsid w:val="00312352"/>
    <w:rsid w:val="003364FD"/>
    <w:rsid w:val="00350818"/>
    <w:rsid w:val="00363D76"/>
    <w:rsid w:val="00370483"/>
    <w:rsid w:val="003765F8"/>
    <w:rsid w:val="00392305"/>
    <w:rsid w:val="003A5837"/>
    <w:rsid w:val="003C736C"/>
    <w:rsid w:val="004020D0"/>
    <w:rsid w:val="00405EDC"/>
    <w:rsid w:val="00424646"/>
    <w:rsid w:val="00452C29"/>
    <w:rsid w:val="00455E36"/>
    <w:rsid w:val="004845A3"/>
    <w:rsid w:val="00484D9D"/>
    <w:rsid w:val="0049772F"/>
    <w:rsid w:val="004B0746"/>
    <w:rsid w:val="004C5ACE"/>
    <w:rsid w:val="004D6B99"/>
    <w:rsid w:val="004E0C12"/>
    <w:rsid w:val="00551200"/>
    <w:rsid w:val="00555E56"/>
    <w:rsid w:val="00577681"/>
    <w:rsid w:val="005971B0"/>
    <w:rsid w:val="005A683C"/>
    <w:rsid w:val="005C7EF6"/>
    <w:rsid w:val="005F2492"/>
    <w:rsid w:val="00611CDA"/>
    <w:rsid w:val="00612267"/>
    <w:rsid w:val="00615330"/>
    <w:rsid w:val="0062796E"/>
    <w:rsid w:val="00632B2A"/>
    <w:rsid w:val="0063643A"/>
    <w:rsid w:val="006438F5"/>
    <w:rsid w:val="006664BB"/>
    <w:rsid w:val="006C0D25"/>
    <w:rsid w:val="00722ADA"/>
    <w:rsid w:val="0072608B"/>
    <w:rsid w:val="00763867"/>
    <w:rsid w:val="00766D88"/>
    <w:rsid w:val="007836A4"/>
    <w:rsid w:val="00786F0B"/>
    <w:rsid w:val="007A109E"/>
    <w:rsid w:val="007A3691"/>
    <w:rsid w:val="007A5912"/>
    <w:rsid w:val="007D397A"/>
    <w:rsid w:val="00814B1A"/>
    <w:rsid w:val="00817CFE"/>
    <w:rsid w:val="0085274A"/>
    <w:rsid w:val="00865A46"/>
    <w:rsid w:val="008A5BC6"/>
    <w:rsid w:val="008C31DA"/>
    <w:rsid w:val="008D1D6F"/>
    <w:rsid w:val="009075CD"/>
    <w:rsid w:val="00913E82"/>
    <w:rsid w:val="009227B7"/>
    <w:rsid w:val="00936EDE"/>
    <w:rsid w:val="009561F1"/>
    <w:rsid w:val="009A3A34"/>
    <w:rsid w:val="009A4B4F"/>
    <w:rsid w:val="009C0CB4"/>
    <w:rsid w:val="009D066F"/>
    <w:rsid w:val="00A408AB"/>
    <w:rsid w:val="00A7103D"/>
    <w:rsid w:val="00AC15BF"/>
    <w:rsid w:val="00AD241D"/>
    <w:rsid w:val="00AD4294"/>
    <w:rsid w:val="00B26DEB"/>
    <w:rsid w:val="00B41851"/>
    <w:rsid w:val="00B45594"/>
    <w:rsid w:val="00B74264"/>
    <w:rsid w:val="00B91AEC"/>
    <w:rsid w:val="00BB0C1B"/>
    <w:rsid w:val="00BE04D0"/>
    <w:rsid w:val="00BE0F94"/>
    <w:rsid w:val="00BE18DD"/>
    <w:rsid w:val="00C02BE6"/>
    <w:rsid w:val="00C26D3C"/>
    <w:rsid w:val="00C4172D"/>
    <w:rsid w:val="00C95506"/>
    <w:rsid w:val="00CA0C89"/>
    <w:rsid w:val="00CB08E0"/>
    <w:rsid w:val="00CD2F4A"/>
    <w:rsid w:val="00CF6B35"/>
    <w:rsid w:val="00D76B5D"/>
    <w:rsid w:val="00D96D5A"/>
    <w:rsid w:val="00DA59E2"/>
    <w:rsid w:val="00DA79CB"/>
    <w:rsid w:val="00DD1861"/>
    <w:rsid w:val="00DF3163"/>
    <w:rsid w:val="00DF364C"/>
    <w:rsid w:val="00DF62EC"/>
    <w:rsid w:val="00E1004F"/>
    <w:rsid w:val="00E14E51"/>
    <w:rsid w:val="00E863D7"/>
    <w:rsid w:val="00E872A2"/>
    <w:rsid w:val="00E90FD1"/>
    <w:rsid w:val="00EC1358"/>
    <w:rsid w:val="00F045EC"/>
    <w:rsid w:val="00F10B71"/>
    <w:rsid w:val="00F13F32"/>
    <w:rsid w:val="00F16F10"/>
    <w:rsid w:val="00F21CB5"/>
    <w:rsid w:val="00F35AA4"/>
    <w:rsid w:val="00F458C0"/>
    <w:rsid w:val="00F802BD"/>
    <w:rsid w:val="00F87ADB"/>
    <w:rsid w:val="00F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C4090"/>
  <w15:docId w15:val="{0BC74AED-69DD-43E9-8DCA-8DD437FF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561F1"/>
  </w:style>
  <w:style w:type="paragraph" w:styleId="ListParagraph">
    <w:name w:val="List Paragraph"/>
    <w:basedOn w:val="Normal"/>
    <w:uiPriority w:val="34"/>
    <w:qFormat/>
    <w:rsid w:val="005C7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3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0F9"/>
  </w:style>
  <w:style w:type="paragraph" w:styleId="Footer">
    <w:name w:val="footer"/>
    <w:basedOn w:val="Normal"/>
    <w:link w:val="FooterChar"/>
    <w:uiPriority w:val="99"/>
    <w:unhideWhenUsed/>
    <w:rsid w:val="00123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F9"/>
  </w:style>
  <w:style w:type="paragraph" w:styleId="BalloonText">
    <w:name w:val="Balloon Text"/>
    <w:basedOn w:val="Normal"/>
    <w:link w:val="BalloonTextChar"/>
    <w:uiPriority w:val="99"/>
    <w:semiHidden/>
    <w:unhideWhenUsed/>
    <w:rsid w:val="004C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Sireno, Lisa</dc:creator>
  <cp:lastModifiedBy>Tricia Benda</cp:lastModifiedBy>
  <cp:revision>8</cp:revision>
  <cp:lastPrinted>2017-12-13T13:07:00Z</cp:lastPrinted>
  <dcterms:created xsi:type="dcterms:W3CDTF">2017-12-13T13:07:00Z</dcterms:created>
  <dcterms:modified xsi:type="dcterms:W3CDTF">2018-02-01T18:53:00Z</dcterms:modified>
</cp:coreProperties>
</file>